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C" w:rsidRDefault="004E3E8C" w:rsidP="004E3E8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Pr="00CB0691" w:rsidRDefault="004E3E8C" w:rsidP="004E3E8C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68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Методические рекомендации к организации </w:t>
      </w:r>
      <w:r w:rsidRPr="00A4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развивающей предметно-пространственной среды группы в соответствии с требованиями ФГОС </w:t>
      </w:r>
      <w:proofErr w:type="gramStart"/>
      <w:r w:rsidRPr="00A4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A4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tbl>
      <w:tblPr>
        <w:tblStyle w:val="a3"/>
        <w:tblW w:w="10490" w:type="dxa"/>
        <w:tblInd w:w="-601" w:type="dxa"/>
        <w:tblLook w:val="04A0"/>
      </w:tblPr>
      <w:tblGrid>
        <w:gridCol w:w="3100"/>
        <w:gridCol w:w="3253"/>
        <w:gridCol w:w="4137"/>
      </w:tblGrid>
      <w:tr w:rsidR="004E3E8C" w:rsidRPr="0065780B" w:rsidTr="0073247A"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РППС</w:t>
            </w:r>
          </w:p>
        </w:tc>
      </w:tr>
      <w:tr w:rsidR="004E3E8C" w:rsidRPr="0065780B" w:rsidTr="0073247A">
        <w:trPr>
          <w:trHeight w:val="2254"/>
        </w:trPr>
        <w:tc>
          <w:tcPr>
            <w:tcW w:w="3100" w:type="dxa"/>
            <w:vMerge w:val="restart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Насыщенности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Соответствие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объектов среды  возрастным возможностям детей и содержанию программы</w:t>
            </w:r>
            <w:r w:rsidRPr="006578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 Подбор  материалов и оборудования  в соответствии с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темой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, решаемыми образовательными задачами,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ведущей деятельностью: в раннем – предметная, в </w:t>
            </w:r>
            <w:proofErr w:type="spellStart"/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дошкольном-игровая</w:t>
            </w:r>
            <w:proofErr w:type="spellEnd"/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 3-5 лет сюжетно-ролевая, </w:t>
            </w:r>
            <w:proofErr w:type="gramEnd"/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6-7 лет игра с правилами).</w:t>
            </w:r>
            <w:proofErr w:type="gramEnd"/>
          </w:p>
        </w:tc>
      </w:tr>
      <w:tr w:rsidR="004E3E8C" w:rsidRPr="0065780B" w:rsidTr="0073247A">
        <w:tc>
          <w:tcPr>
            <w:tcW w:w="3100" w:type="dxa"/>
            <w:vMerge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2. Организация образовательного пространства и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разнообразие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объектов должны обеспечивать: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- активность в разных видах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 деятельности, проявление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творчества;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поддержку инициативы и самостоятельности детей в специфических для них видах деятельности;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- возможность самовыражения детей.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 Материалы и оборудование должны быть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интересны детям группы,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стимулировать их активность в разных видах деятельности (от задумки до результата).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 В группе  имеются награды, подарки,  модели лесенки успеха и пр. атрибуты для оценки и самооценки.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 В РППС: уголок уединения, тишины, </w:t>
            </w:r>
            <w:proofErr w:type="spell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порфолио</w:t>
            </w:r>
            <w:proofErr w:type="spellEnd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ребенка, предметы инд. пользования, персональные предметы и игрушки (сокровищницы), семейные фотоальбомы, стенды добрых дел, почтовые ящики для переписки с родителями, специальное место в раздевалке, где можно поблагодарить, отметить инициативных, активных родителей.</w:t>
            </w:r>
            <w:proofErr w:type="gramEnd"/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  Для этого в среде имеются 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 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выполнения деятельности от задумки до результата (рисование, лепка, игра, конструирование и др.) для мальчиков и девочек с </w:t>
            </w: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вариантами  выбора.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bCs/>
                <w:lang w:eastAsia="ru-RU"/>
              </w:rPr>
              <w:t>-Короткова Н. А.- пространство группы: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 рабочая зона (30%), активной деятельности (50%), спокойной деятельности (20%).</w:t>
            </w:r>
          </w:p>
        </w:tc>
      </w:tr>
      <w:tr w:rsidR="004E3E8C" w:rsidRPr="0065780B" w:rsidTr="0073247A"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2.Трансформируемости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1. РППС  изменяется: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 в соответствии с  образовательной ситуацией,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 от меняющихся интересов и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возможностей детей.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младшей и средней группе (начало года) педагог сам организует пространство  в соответствии с задачами и содержанием ОП (расположение учебной зоны), учит детей организовывать пространство группы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совместной активной деятельности, учит находить место для индивидуальной спокойной деятельности (или небольшой группой), для уединения. Для этого в среде должны быть разделители (невысокие ширмы, перегородки, заборчики, коврики), маркеры среды (стационарные, меняемые).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В старшем дошкольном возрасте дети сами организуют пространство среды.</w:t>
            </w:r>
          </w:p>
        </w:tc>
      </w:tr>
      <w:tr w:rsidR="004E3E8C" w:rsidRPr="0065780B" w:rsidTr="0073247A"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3.Полифункциональности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1. В РППС объекты </w:t>
            </w:r>
            <w:proofErr w:type="spell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полифункциональны</w:t>
            </w:r>
            <w:proofErr w:type="spellEnd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, т.е. выполняют разные функции, решают разные задачи; по-разному используются в детской деятельности;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2.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Полифункциональные объекты среды должны стимулировать взаимодействие взрослых и детей, их разнообразную активность;  обеспечивать развитие игровой деятельности,  интеграцию разных видов деятельности.</w:t>
            </w:r>
          </w:p>
        </w:tc>
      </w:tr>
      <w:tr w:rsidR="004E3E8C" w:rsidRPr="0065780B" w:rsidTr="0073247A"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Вариативности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1.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2.Периодическая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3.Объекты среды отражают национально-культурные, климатические  особенности региона.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 РППС структурируется и наполняется в соответствии с контингентом воспитанников,  интересами детей, их социальным опытом.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  Объекты среды меняются в соответствии с темой или событием, включают материалы  праздников,  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выставок детского художественного творчества,  празднование знаменательных дат...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- Объекты  отражают культурно-художественные  региональные традиции:  картины, иллюстрации, фото, видеопрезентации, видеофильмы, альбомы о театрах,  о достопримечательностях родного города, об известных людях  и т.п.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- Объекты  отражают  </w:t>
            </w:r>
          </w:p>
          <w:p w:rsidR="004E3E8C" w:rsidRPr="0065780B" w:rsidRDefault="004E3E8C" w:rsidP="00732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климатогеографические особенности природы,  труда и быта, историю родного края и т.п. (фото, картины, </w:t>
            </w: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видеофильмы, презентации, репродукции, книги, музыкальные, литературные произведения, коллекции, гербарии, инструменты и пр.).</w:t>
            </w:r>
            <w:proofErr w:type="gramEnd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 В  группе представлены материалы и оборудование для детей в соответствии с приоритетным направлением ДОУ, методической темой педагога.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E8C" w:rsidRPr="0065780B" w:rsidTr="0073247A">
        <w:trPr>
          <w:trHeight w:val="5442"/>
        </w:trPr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Доступности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1.Доступность для воспитанников, в том числе детей с ОВЗ и детей-инвалидов, всех помещений, где осуществляется образовательный процесс;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2.Свободный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      </w:r>
          </w:p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7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21"/>
            </w:tblGrid>
            <w:tr w:rsidR="004E3E8C" w:rsidRPr="0065780B" w:rsidTr="0073247A">
              <w:trPr>
                <w:trHeight w:val="315"/>
                <w:tblCellSpacing w:w="0" w:type="dxa"/>
              </w:trPr>
              <w:tc>
                <w:tcPr>
                  <w:tcW w:w="4370" w:type="dxa"/>
                  <w:shd w:val="clear" w:color="auto" w:fill="FFFFFF"/>
                  <w:vAlign w:val="center"/>
                  <w:hideMark/>
                </w:tcPr>
                <w:p w:rsidR="004E3E8C" w:rsidRPr="0065780B" w:rsidRDefault="004E3E8C" w:rsidP="007324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78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ограниченными возможностями здоровья </w:t>
                  </w:r>
                </w:p>
                <w:p w:rsidR="004E3E8C" w:rsidRPr="0065780B" w:rsidRDefault="004E3E8C" w:rsidP="007324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E8C" w:rsidRPr="0065780B" w:rsidTr="0073247A">
        <w:tc>
          <w:tcPr>
            <w:tcW w:w="3100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Безопасности</w:t>
            </w:r>
          </w:p>
        </w:tc>
        <w:tc>
          <w:tcPr>
            <w:tcW w:w="3253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1. Предполагает соответствие всех её элементов требованиям по обеспечению надёжности и безопасности их использования.</w:t>
            </w:r>
          </w:p>
        </w:tc>
        <w:tc>
          <w:tcPr>
            <w:tcW w:w="4137" w:type="dxa"/>
          </w:tcPr>
          <w:p w:rsidR="004E3E8C" w:rsidRPr="0065780B" w:rsidRDefault="004E3E8C" w:rsidP="00732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и издательская продукция должна быть </w:t>
            </w:r>
            <w:bookmarkStart w:id="0" w:name="_GoBack"/>
            <w:bookmarkEnd w:id="0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сертифицирована,  соответствовать требованиям </w:t>
            </w:r>
            <w:proofErr w:type="spell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 xml:space="preserve"> и др. документов, иметь психолого-педагогическую ценность, </w:t>
            </w:r>
            <w:proofErr w:type="gramStart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65780B">
              <w:rPr>
                <w:rFonts w:ascii="Times New Roman" w:eastAsia="Times New Roman" w:hAnsi="Times New Roman" w:cs="Times New Roman"/>
                <w:lang w:eastAsia="ru-RU"/>
              </w:rPr>
              <w:t>. Приложение 3 к письму Минобразования России от 17 мая 1995 года № 61/19-12 «О психолого-педагогической ценности игр и игрушек» (методические указания для работников дошкольных образовательных учреждений).</w:t>
            </w:r>
          </w:p>
        </w:tc>
      </w:tr>
    </w:tbl>
    <w:p w:rsidR="004E3E8C" w:rsidRPr="0065780B" w:rsidRDefault="004E3E8C" w:rsidP="004E3E8C">
      <w:pPr>
        <w:jc w:val="center"/>
        <w:rPr>
          <w:rFonts w:ascii="Times New Roman" w:hAnsi="Times New Roman" w:cs="Times New Roman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E8C" w:rsidRDefault="004E3E8C" w:rsidP="004E3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E3E8C"/>
    <w:rsid w:val="004E3E8C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2016-10-30T10:02:00Z</dcterms:created>
  <dcterms:modified xsi:type="dcterms:W3CDTF">2016-10-30T10:03:00Z</dcterms:modified>
</cp:coreProperties>
</file>